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62</w:t>
      </w:r>
    </w:p>
    <w:p>
      <w:r>
        <w:t>Bundesgericht (BGE), 1988-05-31, DE</w:t>
      </w:r>
    </w:p>
    <w:p>
      <w:r>
        <w:rPr>
          <w:b/>
        </w:rPr>
        <w:t xml:space="preserve">Quelle: </w:t>
      </w:r>
      <w:r>
        <w:t>https://mcp.opencaselaw.ch/entscheid/bge_114 IV 62</w:t>
      </w:r>
    </w:p>
    <w:p>
      <w:r>
        <w:t>FR: ATF 114 IV 62</w:t>
      </w:r>
    </w:p>
    <w:p>
      <w:r>
        <w:t>IT: DTF 114 IV 62</w:t>
      </w:r>
    </w:p>
    <w:p>
      <w:pPr>
        <w:pStyle w:val="Heading2"/>
      </w:pPr>
      <w:r>
        <w:t>Regeste</w:t>
      </w:r>
    </w:p>
    <w:p>
      <w:r>
        <w:t>Regeste Art. 48 Abs. 6 SSV; Parkieren gegen Gebühr. Grundsätzlich hat jeder, der sein Fahrzeug auf einem gebührenpflichtigen Parkplatz abstellt, die Parkgebühr zu zahlen. Das gilt insbesondere auch, wenn das Fahrzeug zwecks Güterumschlags dort abgestellt wird. Eine Befreiung von der Zahlungspflicht ist nur ausnahmsweise möglich.</w:t>
      </w:r>
    </w:p>
    <w:p>
      <w:pPr>
        <w:pStyle w:val="Heading2"/>
      </w:pPr>
      <w:r>
        <w:t>Erwägungen</w:t>
      </w:r>
    </w:p>
    <w:p>
      <w:r>
        <w:rPr>
          <w:b/>
        </w:rPr>
        <w:t>E. 3</w:t>
      </w:r>
    </w:p>
    <w:p>
      <w:r>
        <w:t>b) Nach Art. 48 Abs. 6 SSV dürfen Motorwagen auf den entsprechend gekennzeichneten Parkplätzen nur gegen Gebühr und gemäss den an der Parkuhr vermerkten Bestimmungen abgestellt werden. Diese Zahlungspflicht gilt uneingeschränkt. Sonderfälle, welche ein Absehen vom Ingangsetzen der Parkuhr rechtfertigen würden, sind weder dem Gesetz noch der Literatur zu entnehmen. Das gilt insbesondere für den vom Beschwerdeführer geltend gemachten Güterumschlag bzw. die Ausübung eines Gewerbes. Eine Privilegierung bezüglich der Zahlungspflicht wäre höchstens denkbar in Fällen, wo besondere Güter auf dem Spiele stehen, deren Bedeutung die Interessen des Verkehrs derart überwiegen, dass sich ihr Schutz aufdrängt. Eine solche Privilegierung (in Form besonderer Benützungsregeln von Parkraum) darf etwa angenommen werden für Fahrzeuge der Sanität, Feuerwehr und Polizei, Pikettfahrzeuge kantonaler Maschinen- und Heizungsämter, Fahrzeuge gebrechlicher Fahrzeuglenker oder solche von Ärzten, die im Rahmen des ärztlichen Notfalldienstes Pikettdienst leisten. Solche Fahrzeuge sind denn auch durch ihr Äusseres oder durch spezielle Kennzeichen sofort erkennbar. Indessen wird in der Literatur ausdrücklich darauf hingewiesen, dass die Eigenschaft, Gewerbetreibender zu sein, Sonderregelungen etwa der Parkzeitdauer nicht zu rechtfertigen vermag (SCHAFFHAUSER, Grundriss des BGE 114 IV 62 S. 63 schweizerischen Strassenverkehrsrechts, 1984, Bd. I, N 39-42). Die Verurteilung nach Art. 48 Abs. 6 SSV erfolgte daher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